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5D02" w14:textId="1B2BBF13" w:rsidR="00CA177D" w:rsidRDefault="00315F27" w:rsidP="00CA177D">
      <w:pPr>
        <w:pStyle w:val="Heading1"/>
      </w:pPr>
      <w:r>
        <w:t>What’s Changing for Participants</w:t>
      </w:r>
    </w:p>
    <w:p w14:paraId="05EC0C50" w14:textId="5B940731" w:rsidR="00315F27" w:rsidRDefault="00315F27" w:rsidP="00CA177D">
      <w:pPr>
        <w:pStyle w:val="Heading2"/>
      </w:pPr>
      <w:r>
        <w:t>Continuing Education Catalog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15F27" w14:paraId="17B2B5E6" w14:textId="77777777" w:rsidTr="00315F27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3752D243" w14:textId="76766FB1" w:rsidR="00315F27" w:rsidRDefault="00315F27" w:rsidP="00315F27">
            <w:pPr>
              <w:pStyle w:val="Heading3"/>
              <w:jc w:val="center"/>
            </w:pPr>
            <w:r>
              <w:t>Before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7F591620" w14:textId="24AD32FD" w:rsidR="00315F27" w:rsidRDefault="00315F27" w:rsidP="00315F27">
            <w:pPr>
              <w:pStyle w:val="Heading3"/>
              <w:jc w:val="center"/>
            </w:pPr>
            <w:r>
              <w:t>After</w:t>
            </w:r>
          </w:p>
        </w:tc>
      </w:tr>
      <w:tr w:rsidR="00315F27" w14:paraId="450FE0B2" w14:textId="77777777" w:rsidTr="00315F27">
        <w:tc>
          <w:tcPr>
            <w:tcW w:w="4675" w:type="dxa"/>
            <w:tcBorders>
              <w:right w:val="single" w:sz="4" w:space="0" w:color="auto"/>
            </w:tcBorders>
          </w:tcPr>
          <w:p w14:paraId="3DF8FE2A" w14:textId="67F8F4B0" w:rsidR="00315F27" w:rsidRDefault="00315F27" w:rsidP="003865AE">
            <w:r>
              <w:t>Upcoming courses listed on UCSF CME website</w:t>
            </w:r>
            <w:r w:rsidR="007A4A04">
              <w:t xml:space="preserve"> and on the </w:t>
            </w:r>
            <w:r>
              <w:t>registration site</w:t>
            </w:r>
            <w:r w:rsidR="003865AE">
              <w:t>, while available e-learning modules live in CMECalifornia and other learning management systems. Conference schedules for case conferences, grand rounds, tumor boards</w:t>
            </w:r>
            <w:r w:rsidR="004430E1">
              <w:t>, were not accessible.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14:paraId="143B6149" w14:textId="76E91718" w:rsidR="00315F27" w:rsidRDefault="00315F27" w:rsidP="003865AE">
            <w:r>
              <w:t>From a single home page, link to upcoming course listings, see available online learning opportunities, and review departmental conference calendars (if made public).</w:t>
            </w:r>
          </w:p>
        </w:tc>
      </w:tr>
      <w:tr w:rsidR="00315F27" w14:paraId="703F97C4" w14:textId="77777777" w:rsidTr="00315F27">
        <w:tc>
          <w:tcPr>
            <w:tcW w:w="4675" w:type="dxa"/>
            <w:tcBorders>
              <w:right w:val="single" w:sz="4" w:space="0" w:color="auto"/>
            </w:tcBorders>
          </w:tcPr>
          <w:p w14:paraId="0D2BE8D4" w14:textId="54CFEF16" w:rsidR="00315F27" w:rsidRDefault="00315F27" w:rsidP="003865AE"/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14:paraId="688FD086" w14:textId="77777777" w:rsidR="00315F27" w:rsidRDefault="00315F27" w:rsidP="003865AE"/>
        </w:tc>
      </w:tr>
      <w:tr w:rsidR="00315F27" w14:paraId="7D5A1066" w14:textId="77777777" w:rsidTr="00315F27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52AE3A68" w14:textId="4813EF17" w:rsidR="00315F27" w:rsidRDefault="00315F27" w:rsidP="003865AE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037988" w14:textId="77777777" w:rsidR="00315F27" w:rsidRDefault="00315F27" w:rsidP="003865AE"/>
        </w:tc>
      </w:tr>
    </w:tbl>
    <w:p w14:paraId="5E085613" w14:textId="7213B49D" w:rsidR="00315F27" w:rsidRDefault="00315F27" w:rsidP="00A511B8"/>
    <w:p w14:paraId="6FA0E140" w14:textId="565034D9" w:rsidR="00CA177D" w:rsidRDefault="00315F27" w:rsidP="003865AE">
      <w:pPr>
        <w:pStyle w:val="Heading2"/>
      </w:pPr>
      <w:r>
        <w:t>Registration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15F27" w14:paraId="5F66E00C" w14:textId="77777777" w:rsidTr="007D1F1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6A3E4CF1" w14:textId="77777777" w:rsidR="00315F27" w:rsidRDefault="00315F27" w:rsidP="003865AE">
            <w:pPr>
              <w:pStyle w:val="Heading3"/>
              <w:jc w:val="center"/>
            </w:pPr>
            <w:r>
              <w:t>Before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731A9F87" w14:textId="77777777" w:rsidR="00315F27" w:rsidRDefault="00315F27" w:rsidP="003865AE">
            <w:pPr>
              <w:pStyle w:val="Heading3"/>
              <w:jc w:val="center"/>
            </w:pPr>
            <w:r>
              <w:t>After</w:t>
            </w:r>
          </w:p>
        </w:tc>
      </w:tr>
      <w:tr w:rsidR="00315F27" w14:paraId="53E22F6D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1A8EFD67" w14:textId="754DFECC" w:rsidR="00315F27" w:rsidRDefault="00614ADB" w:rsidP="003865AE">
            <w:r>
              <w:t>The enrollment p</w:t>
            </w:r>
            <w:r w:rsidR="00315F27">
              <w:t xml:space="preserve">rocess </w:t>
            </w:r>
            <w:r>
              <w:t xml:space="preserve">requires </w:t>
            </w:r>
            <w:r w:rsidR="00315F27">
              <w:t>multiple clicks</w:t>
            </w:r>
            <w:r>
              <w:t xml:space="preserve"> </w:t>
            </w:r>
            <w:r w:rsidR="004D6BE3">
              <w:t>where it was easy to get lost in the process, especially when selecting add-ons like optional dinners or other products.</w:t>
            </w:r>
            <w:r w:rsidR="00A511B8">
              <w:t xml:space="preserve"> Purchase can be made by credit card only.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14:paraId="7A9C291D" w14:textId="7F4E86DE" w:rsidR="002F3058" w:rsidRDefault="002F3058" w:rsidP="00F63038">
            <w:r>
              <w:t>Streamlined step-by-step process guides you through course fees and optional add-ons using registration forms customized for your profession or organization.</w:t>
            </w:r>
            <w:r w:rsidR="00F63038">
              <w:t xml:space="preserve"> </w:t>
            </w:r>
            <w:r>
              <w:t>Group registration will no longer be possible online</w:t>
            </w:r>
            <w:r w:rsidR="00F63038">
              <w:t>, however</w:t>
            </w:r>
            <w:r>
              <w:t>.</w:t>
            </w:r>
            <w:r w:rsidR="00F63038">
              <w:t xml:space="preserve"> </w:t>
            </w:r>
            <w:r>
              <w:t>UCSF CME now accepts Visa, MasterCard, American Express, e-checks (ACH), and UCSF department chart strings for payment.</w:t>
            </w:r>
          </w:p>
        </w:tc>
      </w:tr>
      <w:tr w:rsidR="00315F27" w14:paraId="02AB4191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27424609" w14:textId="4C34C1D5" w:rsidR="00315F27" w:rsidRDefault="00315F27" w:rsidP="003865AE"/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14:paraId="34858E27" w14:textId="77777777" w:rsidR="00315F27" w:rsidRDefault="00315F27" w:rsidP="003865AE"/>
        </w:tc>
      </w:tr>
      <w:tr w:rsidR="00315F27" w14:paraId="09CA5935" w14:textId="77777777" w:rsidTr="007D1F11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7EFF1184" w14:textId="36FC6239" w:rsidR="002F3058" w:rsidRDefault="002F3058" w:rsidP="003865AE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4FFDDA" w14:textId="77777777" w:rsidR="00315F27" w:rsidRDefault="00315F27" w:rsidP="003865AE"/>
        </w:tc>
      </w:tr>
    </w:tbl>
    <w:p w14:paraId="2F7DF588" w14:textId="77777777" w:rsidR="00315F27" w:rsidRDefault="00315F27" w:rsidP="003865AE"/>
    <w:p w14:paraId="4A12410B" w14:textId="77777777" w:rsidR="00132DF3" w:rsidRDefault="00132DF3" w:rsidP="003865AE"/>
    <w:p w14:paraId="3A1E1293" w14:textId="77777777" w:rsidR="00132DF3" w:rsidRDefault="00132DF3" w:rsidP="003865AE"/>
    <w:p w14:paraId="673ED8FF" w14:textId="77777777" w:rsidR="00132DF3" w:rsidRDefault="00132DF3" w:rsidP="003865AE"/>
    <w:p w14:paraId="7538AB02" w14:textId="17C4FAD0" w:rsidR="00315F27" w:rsidRDefault="00315F27" w:rsidP="003865AE">
      <w:pPr>
        <w:pStyle w:val="Heading2"/>
      </w:pPr>
      <w:r>
        <w:lastRenderedPageBreak/>
        <w:t>Online Learning</w:t>
      </w:r>
    </w:p>
    <w:p w14:paraId="1A1055C6" w14:textId="77777777" w:rsidR="00315F27" w:rsidRDefault="00315F27" w:rsidP="003865A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F3058" w14:paraId="022CD87A" w14:textId="77777777" w:rsidTr="007D1F1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023E9B03" w14:textId="77777777" w:rsidR="002F3058" w:rsidRDefault="002F3058" w:rsidP="003865AE">
            <w:pPr>
              <w:pStyle w:val="Heading3"/>
              <w:jc w:val="center"/>
            </w:pPr>
            <w:r>
              <w:t>Before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36CD6F1F" w14:textId="77777777" w:rsidR="002F3058" w:rsidRDefault="002F3058" w:rsidP="003865AE">
            <w:pPr>
              <w:pStyle w:val="Heading3"/>
              <w:jc w:val="center"/>
            </w:pPr>
            <w:r>
              <w:t>After</w:t>
            </w:r>
          </w:p>
        </w:tc>
      </w:tr>
      <w:tr w:rsidR="002F3058" w14:paraId="6E1908D6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0D796D21" w14:textId="19CEF69C" w:rsidR="002F3058" w:rsidRDefault="002803EC" w:rsidP="003865AE">
            <w:r>
              <w:t>E-courses and other modules</w:t>
            </w:r>
            <w:r w:rsidR="00F63038">
              <w:t xml:space="preserve"> are</w:t>
            </w:r>
            <w:r>
              <w:t xml:space="preserve"> hosted in multiple, different systems with </w:t>
            </w:r>
            <w:r w:rsidR="005A77B7">
              <w:t>various registration and evaluation processes.</w:t>
            </w:r>
            <w:r w:rsidR="00033849">
              <w:t xml:space="preserve"> Each platform had inconsistent interfaces, and credits earned for online courses in one system were </w:t>
            </w:r>
            <w:r w:rsidR="001D6C68">
              <w:t>separate from credits earned in other systems.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14:paraId="70268E25" w14:textId="77777777" w:rsidR="002F3058" w:rsidRDefault="00DC6792" w:rsidP="003865AE">
            <w:r>
              <w:t>A unified platform now hosts live</w:t>
            </w:r>
            <w:r w:rsidR="00805711">
              <w:t xml:space="preserve"> conferences and online courses in one location with a consistent user interface, single registration, and a single transcript.</w:t>
            </w:r>
          </w:p>
          <w:p w14:paraId="5B1274D5" w14:textId="7650FA0C" w:rsidR="00805711" w:rsidRDefault="00805711" w:rsidP="003865AE">
            <w:r>
              <w:t xml:space="preserve">Visit your account to </w:t>
            </w:r>
            <w:r w:rsidR="00283DA9">
              <w:t>obtain duplicate certificates for credit</w:t>
            </w:r>
            <w:r w:rsidR="001D6C68">
              <w:t xml:space="preserve"> as needed</w:t>
            </w:r>
            <w:r w:rsidR="00283DA9">
              <w:t>.</w:t>
            </w:r>
          </w:p>
        </w:tc>
      </w:tr>
      <w:tr w:rsidR="002F3058" w14:paraId="3BD1BF43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5174E470" w14:textId="16A82486" w:rsidR="005A77B7" w:rsidRDefault="005A77B7" w:rsidP="003865AE"/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14:paraId="0C6C8FB5" w14:textId="77777777" w:rsidR="002F3058" w:rsidRDefault="002F3058" w:rsidP="003865AE"/>
        </w:tc>
      </w:tr>
      <w:tr w:rsidR="002F3058" w14:paraId="61CAA48C" w14:textId="77777777" w:rsidTr="007D1F11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2A53485E" w14:textId="4B8DD975" w:rsidR="002F3058" w:rsidRDefault="002F3058" w:rsidP="003865AE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0C0FE5" w14:textId="77777777" w:rsidR="002F3058" w:rsidRDefault="002F3058" w:rsidP="003865AE"/>
        </w:tc>
      </w:tr>
    </w:tbl>
    <w:p w14:paraId="33992E2E" w14:textId="77777777" w:rsidR="00315F27" w:rsidRDefault="00315F27" w:rsidP="003865AE"/>
    <w:p w14:paraId="0D2E5100" w14:textId="32E462C2" w:rsidR="00FE1A81" w:rsidRDefault="00FE1A81" w:rsidP="00FE1A81">
      <w:pPr>
        <w:pStyle w:val="Heading2"/>
      </w:pPr>
      <w:r>
        <w:t>Course Content, Syllabus and Recordings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1A81" w14:paraId="4EA9B1ED" w14:textId="77777777" w:rsidTr="007D1F1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68629EA9" w14:textId="77777777" w:rsidR="00FE1A81" w:rsidRDefault="00FE1A81" w:rsidP="007D1F11">
            <w:pPr>
              <w:pStyle w:val="Heading3"/>
              <w:jc w:val="center"/>
            </w:pPr>
            <w:r>
              <w:t>Before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2A6DBAF2" w14:textId="77777777" w:rsidR="00FE1A81" w:rsidRDefault="00FE1A81" w:rsidP="007D1F11">
            <w:pPr>
              <w:pStyle w:val="Heading3"/>
              <w:jc w:val="center"/>
            </w:pPr>
            <w:r>
              <w:t>After</w:t>
            </w:r>
          </w:p>
        </w:tc>
      </w:tr>
      <w:tr w:rsidR="00FE1A81" w14:paraId="38848840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5F1BAD08" w14:textId="4F98C7DA" w:rsidR="00FE1A81" w:rsidRDefault="001C20C1" w:rsidP="007D1F11">
            <w:r>
              <w:t>Handouts, slides, and other materials are made available on a dedicated webpage or cloud storage folder</w:t>
            </w:r>
            <w:r w:rsidR="00AD5073">
              <w:t xml:space="preserve">, mostly accessible by mobile device. Conferences that are recorded </w:t>
            </w:r>
            <w:r w:rsidR="00AA2C01">
              <w:t xml:space="preserve">provide </w:t>
            </w:r>
            <w:r w:rsidR="00AD5073">
              <w:t>video lectures online</w:t>
            </w:r>
            <w:r w:rsidR="00AA2C01">
              <w:t xml:space="preserve"> for review in various places</w:t>
            </w:r>
            <w:r w:rsidR="008D51C6">
              <w:t>, sometimes requiring managing multiple links to web</w:t>
            </w:r>
            <w:r w:rsidR="00096407">
              <w:t xml:space="preserve"> </w:t>
            </w:r>
            <w:r w:rsidR="008D51C6">
              <w:t>pages and sometimes more passwords</w:t>
            </w:r>
            <w:r w:rsidR="00AA2C01">
              <w:t>.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14:paraId="43CA073D" w14:textId="073A325B" w:rsidR="00FE1A81" w:rsidRDefault="00AA2C01" w:rsidP="007D1F11">
            <w:r>
              <w:t xml:space="preserve">CloudCME </w:t>
            </w:r>
            <w:r w:rsidR="007E66EE">
              <w:t>makes materials available to participants enrolled in an activity right within the learner’s account</w:t>
            </w:r>
            <w:r w:rsidR="00701788">
              <w:t xml:space="preserve"> and accessible in a single location. Content is also available in the UCSF CME Conference Mobile App</w:t>
            </w:r>
            <w:r w:rsidR="00096407">
              <w:t xml:space="preserve"> directly on your device or laptop. No fumbling with links and QR codes!</w:t>
            </w:r>
          </w:p>
        </w:tc>
      </w:tr>
      <w:tr w:rsidR="00FE1A81" w14:paraId="45D0C693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4F6BD7F7" w14:textId="77777777" w:rsidR="00FE1A81" w:rsidRDefault="00FE1A81" w:rsidP="007D1F11"/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14:paraId="7748FAF7" w14:textId="77777777" w:rsidR="00FE1A81" w:rsidRDefault="00FE1A81" w:rsidP="007D1F11"/>
        </w:tc>
      </w:tr>
      <w:tr w:rsidR="00FE1A81" w14:paraId="1AD1BBA3" w14:textId="77777777" w:rsidTr="007D1F11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755EBE28" w14:textId="77777777" w:rsidR="00FE1A81" w:rsidRDefault="00FE1A81" w:rsidP="007D1F11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B1ECAE" w14:textId="77777777" w:rsidR="00FE1A81" w:rsidRDefault="00FE1A81" w:rsidP="007D1F11"/>
        </w:tc>
      </w:tr>
    </w:tbl>
    <w:p w14:paraId="6162CA78" w14:textId="77777777" w:rsidR="00FE1A81" w:rsidRDefault="00FE1A81" w:rsidP="003865AE"/>
    <w:p w14:paraId="016261DB" w14:textId="3B260CF5" w:rsidR="00096407" w:rsidRDefault="00096407" w:rsidP="00DC4F22">
      <w:pPr>
        <w:pStyle w:val="Heading2"/>
      </w:pPr>
      <w:r>
        <w:t>Conference Mobile App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C4F22" w14:paraId="3B741CB6" w14:textId="77777777" w:rsidTr="007D1F1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25313351" w14:textId="77777777" w:rsidR="00DC4F22" w:rsidRDefault="00DC4F22" w:rsidP="007D1F11">
            <w:pPr>
              <w:pStyle w:val="Heading3"/>
              <w:jc w:val="center"/>
            </w:pPr>
            <w:r>
              <w:t>Before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6B8A8097" w14:textId="77777777" w:rsidR="00DC4F22" w:rsidRDefault="00DC4F22" w:rsidP="007D1F11">
            <w:pPr>
              <w:pStyle w:val="Heading3"/>
              <w:jc w:val="center"/>
            </w:pPr>
            <w:r>
              <w:t>After</w:t>
            </w:r>
          </w:p>
        </w:tc>
      </w:tr>
      <w:tr w:rsidR="00DC4F22" w14:paraId="5B9ED706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707E55B2" w14:textId="394556AF" w:rsidR="00DC4F22" w:rsidRDefault="00DC4F22" w:rsidP="007D1F11">
            <w:r>
              <w:t xml:space="preserve">Multiple </w:t>
            </w:r>
            <w:r w:rsidR="008D174E">
              <w:t>mobile app vendors providing content specific to a single conference, often with amazing features, but not for all conferences.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14:paraId="39AA76DD" w14:textId="2E5DA646" w:rsidR="00DC4F22" w:rsidRDefault="008D174E" w:rsidP="007D1F11">
            <w:r>
              <w:t xml:space="preserve">The UCSF CME Conference Mobile app will allow participants to register for activities, view </w:t>
            </w:r>
            <w:r w:rsidR="00FB7D55">
              <w:t xml:space="preserve">slides </w:t>
            </w:r>
            <w:r>
              <w:t>online</w:t>
            </w:r>
            <w:r w:rsidR="00FB7D55">
              <w:t xml:space="preserve"> (and take notes)</w:t>
            </w:r>
            <w:r>
              <w:t xml:space="preserve">, check-in to conferences, </w:t>
            </w:r>
            <w:r w:rsidR="00806759">
              <w:t xml:space="preserve">respond to audience response polls, </w:t>
            </w:r>
            <w:r w:rsidR="00FB7D55">
              <w:t>complete evaluations and surveys, claim credit and view transcripts. A single app hosts ALL UCSF CME activities</w:t>
            </w:r>
            <w:r w:rsidR="002304BD">
              <w:t xml:space="preserve"> providing a consistent interface from course to course.</w:t>
            </w:r>
          </w:p>
        </w:tc>
      </w:tr>
      <w:tr w:rsidR="00DC4F22" w14:paraId="5B842CBB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77ABD9BE" w14:textId="77777777" w:rsidR="00DC4F22" w:rsidRDefault="00DC4F22" w:rsidP="007D1F11"/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14:paraId="16CD42B1" w14:textId="77777777" w:rsidR="00DC4F22" w:rsidRDefault="00DC4F22" w:rsidP="007D1F11"/>
        </w:tc>
      </w:tr>
      <w:tr w:rsidR="00DC4F22" w14:paraId="33354381" w14:textId="77777777" w:rsidTr="007D1F11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78B4F71E" w14:textId="77777777" w:rsidR="00DC4F22" w:rsidRDefault="00DC4F22" w:rsidP="007D1F11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793D66" w14:textId="77777777" w:rsidR="00DC4F22" w:rsidRDefault="00DC4F22" w:rsidP="007D1F11"/>
        </w:tc>
      </w:tr>
    </w:tbl>
    <w:p w14:paraId="53300D4E" w14:textId="77777777" w:rsidR="00096407" w:rsidRDefault="00096407" w:rsidP="003865AE"/>
    <w:p w14:paraId="2DD1FE8F" w14:textId="2C790697" w:rsidR="00315F27" w:rsidRDefault="00315F27" w:rsidP="003865AE">
      <w:pPr>
        <w:pStyle w:val="Heading2"/>
      </w:pPr>
      <w:r>
        <w:lastRenderedPageBreak/>
        <w:t>Evaluations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83DA9" w14:paraId="62F2B9F9" w14:textId="77777777" w:rsidTr="1B61DDF4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16517BE4" w14:textId="77777777" w:rsidR="00283DA9" w:rsidRDefault="00283DA9" w:rsidP="003865AE">
            <w:pPr>
              <w:pStyle w:val="Heading3"/>
              <w:jc w:val="center"/>
            </w:pPr>
            <w:r>
              <w:t>Before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4F0A8DE7" w14:textId="77777777" w:rsidR="00283DA9" w:rsidRDefault="00283DA9" w:rsidP="003865AE">
            <w:pPr>
              <w:pStyle w:val="Heading3"/>
              <w:jc w:val="center"/>
            </w:pPr>
            <w:r>
              <w:t>After</w:t>
            </w:r>
          </w:p>
        </w:tc>
      </w:tr>
      <w:tr w:rsidR="00283DA9" w14:paraId="60D63619" w14:textId="77777777" w:rsidTr="1B61DDF4">
        <w:tc>
          <w:tcPr>
            <w:tcW w:w="4675" w:type="dxa"/>
            <w:tcBorders>
              <w:right w:val="single" w:sz="4" w:space="0" w:color="auto"/>
            </w:tcBorders>
          </w:tcPr>
          <w:p w14:paraId="14D5643F" w14:textId="2204BCB1" w:rsidR="00283DA9" w:rsidRDefault="007A4A04" w:rsidP="003865AE">
            <w:r>
              <w:t>Evaluation survey</w:t>
            </w:r>
            <w:r w:rsidR="00132DF3">
              <w:t>s</w:t>
            </w:r>
            <w:r w:rsidR="001D6C68">
              <w:t xml:space="preserve"> are delivered by a handful of different platforms</w:t>
            </w:r>
            <w:r w:rsidR="00896EF6">
              <w:t xml:space="preserve">, require manual processing to generate CE </w:t>
            </w:r>
            <w:r w:rsidR="3BE0044C">
              <w:t>certificates,</w:t>
            </w:r>
            <w:r w:rsidR="00896EF6">
              <w:t xml:space="preserve"> and </w:t>
            </w:r>
            <w:r w:rsidR="580DCF81">
              <w:t>provide</w:t>
            </w:r>
            <w:r w:rsidR="00896EF6">
              <w:t xml:space="preserve"> inconsistent reporting of YOUR feedback to our content planners.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14:paraId="661C2577" w14:textId="07BC15F0" w:rsidR="00283DA9" w:rsidRDefault="00132DF3" w:rsidP="003865AE">
            <w:r>
              <w:t>A unified survey system provides pre-tests, post-tests, evaluations, and certification in a single system, often as part of an integrated process to claim your CE credit. Reporting is consistent and available to content planners much sooner to improve future courses.</w:t>
            </w:r>
          </w:p>
        </w:tc>
      </w:tr>
      <w:tr w:rsidR="00283DA9" w14:paraId="13E40791" w14:textId="77777777" w:rsidTr="1B61DDF4">
        <w:tc>
          <w:tcPr>
            <w:tcW w:w="4675" w:type="dxa"/>
            <w:tcBorders>
              <w:right w:val="single" w:sz="4" w:space="0" w:color="auto"/>
            </w:tcBorders>
          </w:tcPr>
          <w:p w14:paraId="14E63E31" w14:textId="25440014" w:rsidR="00283DA9" w:rsidRDefault="00283DA9" w:rsidP="003865AE"/>
        </w:tc>
        <w:tc>
          <w:tcPr>
            <w:tcW w:w="4675" w:type="dxa"/>
            <w:vMerge/>
          </w:tcPr>
          <w:p w14:paraId="5FECA0DC" w14:textId="77777777" w:rsidR="00283DA9" w:rsidRDefault="00283DA9" w:rsidP="003865AE"/>
        </w:tc>
      </w:tr>
      <w:tr w:rsidR="00283DA9" w14:paraId="7E66F445" w14:textId="77777777" w:rsidTr="1B61DDF4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46D1B42A" w14:textId="62E84A9E" w:rsidR="00283DA9" w:rsidRDefault="00283DA9" w:rsidP="003865AE"/>
        </w:tc>
        <w:tc>
          <w:tcPr>
            <w:tcW w:w="4675" w:type="dxa"/>
            <w:vMerge/>
          </w:tcPr>
          <w:p w14:paraId="75F97769" w14:textId="77777777" w:rsidR="00283DA9" w:rsidRDefault="00283DA9" w:rsidP="003865AE"/>
        </w:tc>
      </w:tr>
    </w:tbl>
    <w:p w14:paraId="799076C9" w14:textId="77777777" w:rsidR="00315F27" w:rsidRDefault="00315F27" w:rsidP="00315F27"/>
    <w:p w14:paraId="7B135D43" w14:textId="6A39B192" w:rsidR="00315F27" w:rsidRDefault="00315F27" w:rsidP="00315F27">
      <w:pPr>
        <w:pStyle w:val="Heading2"/>
      </w:pPr>
      <w:r>
        <w:t>Claiming Credit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95F41" w14:paraId="673CB4DC" w14:textId="77777777" w:rsidTr="1B61DDF4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0D49AE40" w14:textId="77777777" w:rsidR="00295F41" w:rsidRDefault="00295F41" w:rsidP="007D1F11">
            <w:pPr>
              <w:pStyle w:val="Heading3"/>
              <w:jc w:val="center"/>
            </w:pPr>
            <w:r>
              <w:t>Before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5EAE7EA0" w14:textId="77777777" w:rsidR="00295F41" w:rsidRDefault="00295F41" w:rsidP="007D1F11">
            <w:pPr>
              <w:pStyle w:val="Heading3"/>
              <w:jc w:val="center"/>
            </w:pPr>
            <w:r>
              <w:t>After</w:t>
            </w:r>
          </w:p>
        </w:tc>
      </w:tr>
      <w:tr w:rsidR="00295F41" w14:paraId="4D3EAE38" w14:textId="77777777" w:rsidTr="1B61DDF4">
        <w:tc>
          <w:tcPr>
            <w:tcW w:w="4675" w:type="dxa"/>
            <w:tcBorders>
              <w:right w:val="single" w:sz="4" w:space="0" w:color="auto"/>
            </w:tcBorders>
          </w:tcPr>
          <w:p w14:paraId="1EF35BFA" w14:textId="5B25BA78" w:rsidR="00295F41" w:rsidRDefault="00295F41" w:rsidP="007D1F11">
            <w:r>
              <w:t xml:space="preserve">Participants register in one system, claim credit in another, and view </w:t>
            </w:r>
            <w:r w:rsidR="69921B8E">
              <w:t>their</w:t>
            </w:r>
            <w:r>
              <w:t xml:space="preserve"> certificates and transcripts in yet another</w:t>
            </w:r>
            <w:r w:rsidR="00163D29">
              <w:t xml:space="preserve">. Options to claim credit include </w:t>
            </w:r>
            <w:r w:rsidR="0478F4E4">
              <w:t>the following</w:t>
            </w:r>
            <w:r w:rsidR="00163D29">
              <w:t xml:space="preserve"> links, scanning QR codes, manually claiming online, or completing a survey </w:t>
            </w:r>
            <w:r w:rsidR="13C2EDCC">
              <w:t>on</w:t>
            </w:r>
            <w:r w:rsidR="00163D29">
              <w:t xml:space="preserve"> </w:t>
            </w:r>
            <w:r w:rsidR="006575A9">
              <w:t>an unrelated platform.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14:paraId="791C498D" w14:textId="68342AE1" w:rsidR="00295F41" w:rsidRDefault="00295F41" w:rsidP="007D1F11">
            <w:r>
              <w:t xml:space="preserve">A unified system </w:t>
            </w:r>
            <w:r w:rsidR="00FE1A81">
              <w:t xml:space="preserve">that </w:t>
            </w:r>
            <w:r w:rsidR="006575A9">
              <w:t xml:space="preserve">ties the enrollment in and delivery of CE content in one </w:t>
            </w:r>
            <w:r w:rsidR="01751898">
              <w:t>place,</w:t>
            </w:r>
            <w:r w:rsidR="00B555AD">
              <w:t xml:space="preserve"> integrates the evaluation and credit claim process more seamlessly. Options to claim credit include scanning QR codes, checking in at a conference, </w:t>
            </w:r>
            <w:r w:rsidR="00F95262">
              <w:t>claiming online, or SMS messaging/texting a dedicated UCSF CME phone number.</w:t>
            </w:r>
          </w:p>
        </w:tc>
      </w:tr>
      <w:tr w:rsidR="00295F41" w14:paraId="5789A2DB" w14:textId="77777777" w:rsidTr="1B61DDF4">
        <w:tc>
          <w:tcPr>
            <w:tcW w:w="4675" w:type="dxa"/>
            <w:tcBorders>
              <w:right w:val="single" w:sz="4" w:space="0" w:color="auto"/>
            </w:tcBorders>
          </w:tcPr>
          <w:p w14:paraId="78AE67E4" w14:textId="77777777" w:rsidR="00295F41" w:rsidRDefault="00295F41" w:rsidP="007D1F11"/>
        </w:tc>
        <w:tc>
          <w:tcPr>
            <w:tcW w:w="4675" w:type="dxa"/>
            <w:vMerge/>
          </w:tcPr>
          <w:p w14:paraId="55D495F4" w14:textId="77777777" w:rsidR="00295F41" w:rsidRDefault="00295F41" w:rsidP="007D1F11"/>
        </w:tc>
      </w:tr>
      <w:tr w:rsidR="00295F41" w14:paraId="4037CC44" w14:textId="77777777" w:rsidTr="1B61DDF4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56399701" w14:textId="77777777" w:rsidR="00295F41" w:rsidRDefault="00295F41" w:rsidP="007D1F11"/>
        </w:tc>
        <w:tc>
          <w:tcPr>
            <w:tcW w:w="4675" w:type="dxa"/>
            <w:vMerge/>
          </w:tcPr>
          <w:p w14:paraId="7A62ED55" w14:textId="77777777" w:rsidR="00295F41" w:rsidRDefault="00295F41" w:rsidP="007D1F11"/>
        </w:tc>
      </w:tr>
    </w:tbl>
    <w:p w14:paraId="31C7B635" w14:textId="77777777" w:rsidR="00315F27" w:rsidRDefault="00315F27" w:rsidP="00315F27"/>
    <w:p w14:paraId="6044324D" w14:textId="57D9DE24" w:rsidR="00315F27" w:rsidRDefault="00315F27" w:rsidP="00315F27">
      <w:pPr>
        <w:pStyle w:val="Heading2"/>
      </w:pPr>
      <w:r>
        <w:t xml:space="preserve">Viewing </w:t>
      </w:r>
      <w:r w:rsidR="002304BD">
        <w:t xml:space="preserve">Certificates and </w:t>
      </w:r>
      <w:r>
        <w:t>Transcripts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304BD" w14:paraId="112A2F19" w14:textId="77777777" w:rsidTr="007D1F1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2589C91A" w14:textId="77777777" w:rsidR="002304BD" w:rsidRDefault="002304BD" w:rsidP="007D1F11">
            <w:pPr>
              <w:pStyle w:val="Heading3"/>
              <w:jc w:val="center"/>
            </w:pPr>
            <w:r>
              <w:t>Before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31F4A351" w14:textId="77777777" w:rsidR="002304BD" w:rsidRDefault="002304BD" w:rsidP="007D1F11">
            <w:pPr>
              <w:pStyle w:val="Heading3"/>
              <w:jc w:val="center"/>
            </w:pPr>
            <w:r>
              <w:t>After</w:t>
            </w:r>
          </w:p>
        </w:tc>
      </w:tr>
      <w:tr w:rsidR="002304BD" w14:paraId="054FC2F1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1A5D8F4D" w14:textId="52A48879" w:rsidR="002304BD" w:rsidRDefault="004E4117" w:rsidP="007D1F11">
            <w:r>
              <w:t>Certificates and transcripts are available for many departmental conferences from the UCSF CE Portal</w:t>
            </w:r>
            <w:r w:rsidR="000C39D4">
              <w:t xml:space="preserve">; </w:t>
            </w:r>
            <w:r w:rsidR="004A116E">
              <w:t>however,</w:t>
            </w:r>
            <w:r w:rsidR="000C39D4">
              <w:t xml:space="preserve"> </w:t>
            </w:r>
            <w:r w:rsidR="007869C5">
              <w:t xml:space="preserve">obtaining </w:t>
            </w:r>
            <w:r w:rsidR="000C39D4">
              <w:t xml:space="preserve">credit records for courses and online learning modules </w:t>
            </w:r>
            <w:r w:rsidR="007869C5">
              <w:t xml:space="preserve">often </w:t>
            </w:r>
            <w:r w:rsidR="000C39D4">
              <w:t>require</w:t>
            </w:r>
            <w:r w:rsidR="007869C5">
              <w:t>s</w:t>
            </w:r>
            <w:r w:rsidR="000C39D4">
              <w:t xml:space="preserve"> a </w:t>
            </w:r>
            <w:r w:rsidR="007869C5">
              <w:t xml:space="preserve">support </w:t>
            </w:r>
            <w:r w:rsidR="000C39D4">
              <w:t xml:space="preserve">request to the </w:t>
            </w:r>
            <w:r w:rsidR="007869C5">
              <w:t xml:space="preserve">UCSF CME </w:t>
            </w:r>
            <w:r w:rsidR="000C39D4">
              <w:t xml:space="preserve">if </w:t>
            </w:r>
            <w:r w:rsidR="007869C5">
              <w:t xml:space="preserve">they are </w:t>
            </w:r>
            <w:r w:rsidR="000C39D4">
              <w:t>not immediately available from another learning management system.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14:paraId="124F3FD0" w14:textId="4657C4A4" w:rsidR="002304BD" w:rsidRDefault="000C39D4" w:rsidP="007D1F11">
            <w:r>
              <w:t xml:space="preserve">Credit records </w:t>
            </w:r>
            <w:r w:rsidR="00206224">
              <w:t xml:space="preserve">from </w:t>
            </w:r>
            <w:r w:rsidR="007869C5">
              <w:t xml:space="preserve">the year </w:t>
            </w:r>
            <w:r w:rsidR="00206224">
              <w:t xml:space="preserve">2020 </w:t>
            </w:r>
            <w:r w:rsidR="007869C5">
              <w:t xml:space="preserve">forward </w:t>
            </w:r>
            <w:r w:rsidR="00206224">
              <w:t>will be available for any type of activity (awarded by UCSF) in each participant’s account.</w:t>
            </w:r>
            <w:r w:rsidR="004A116E">
              <w:t xml:space="preserve"> Claim credit in one place, review </w:t>
            </w:r>
            <w:r w:rsidR="000D0D9D">
              <w:t xml:space="preserve">your awards, </w:t>
            </w:r>
            <w:r w:rsidR="004A116E">
              <w:t xml:space="preserve">and </w:t>
            </w:r>
            <w:r w:rsidR="000D0D9D">
              <w:t xml:space="preserve">obtain </w:t>
            </w:r>
            <w:r w:rsidR="004A116E">
              <w:t xml:space="preserve">duplicate </w:t>
            </w:r>
            <w:r w:rsidR="000D0D9D">
              <w:t xml:space="preserve">receipts, </w:t>
            </w:r>
            <w:r w:rsidR="004A116E">
              <w:t>certificate</w:t>
            </w:r>
            <w:r w:rsidR="000D0D9D">
              <w:t>s, and full transcripts</w:t>
            </w:r>
            <w:r w:rsidR="004A116E">
              <w:t xml:space="preserve"> in the same place.</w:t>
            </w:r>
          </w:p>
        </w:tc>
      </w:tr>
      <w:tr w:rsidR="002304BD" w14:paraId="4E25983A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5FF649C0" w14:textId="77777777" w:rsidR="002304BD" w:rsidRDefault="002304BD" w:rsidP="007D1F11"/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14:paraId="06783F6B" w14:textId="77777777" w:rsidR="002304BD" w:rsidRDefault="002304BD" w:rsidP="007D1F11"/>
        </w:tc>
      </w:tr>
      <w:tr w:rsidR="002304BD" w14:paraId="0A701D14" w14:textId="77777777" w:rsidTr="007D1F11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134DD74B" w14:textId="77777777" w:rsidR="002304BD" w:rsidRDefault="002304BD" w:rsidP="007D1F11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491324" w14:textId="77777777" w:rsidR="002304BD" w:rsidRDefault="002304BD" w:rsidP="007D1F11"/>
        </w:tc>
      </w:tr>
    </w:tbl>
    <w:p w14:paraId="34E7079F" w14:textId="77777777" w:rsidR="00315F27" w:rsidRDefault="00315F27" w:rsidP="00315F27"/>
    <w:p w14:paraId="3BDC7BCF" w14:textId="77777777" w:rsidR="00315F27" w:rsidRPr="00315F27" w:rsidRDefault="00315F27" w:rsidP="00315F27"/>
    <w:p w14:paraId="104C5AFE" w14:textId="2B1EA514" w:rsidR="00D7460E" w:rsidRDefault="00D7460E" w:rsidP="00D7460E">
      <w:pPr>
        <w:pStyle w:val="Heading2"/>
      </w:pPr>
      <w:r>
        <w:lastRenderedPageBreak/>
        <w:t>UCSF My Access Single Sign On for UCSF Employees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7460E" w14:paraId="1D23A385" w14:textId="77777777" w:rsidTr="007D1F11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5C4B7A9E" w14:textId="77777777" w:rsidR="00D7460E" w:rsidRDefault="00D7460E" w:rsidP="007D1F11">
            <w:pPr>
              <w:pStyle w:val="Heading3"/>
              <w:jc w:val="center"/>
            </w:pPr>
            <w:r>
              <w:t>Before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56ABF004" w14:textId="77777777" w:rsidR="00D7460E" w:rsidRDefault="00D7460E" w:rsidP="007D1F11">
            <w:pPr>
              <w:pStyle w:val="Heading3"/>
              <w:jc w:val="center"/>
            </w:pPr>
            <w:r>
              <w:t>After</w:t>
            </w:r>
          </w:p>
        </w:tc>
      </w:tr>
      <w:tr w:rsidR="00D7460E" w14:paraId="6427F4AC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389FD952" w14:textId="6BEFEB1E" w:rsidR="00EB1264" w:rsidRPr="00EB1264" w:rsidRDefault="00EB1264" w:rsidP="00EB1264">
            <w:r w:rsidRPr="00EB1264">
              <w:t>UCSF employees are required to create a new account</w:t>
            </w:r>
            <w:r>
              <w:t xml:space="preserve"> using an email and </w:t>
            </w:r>
            <w:r w:rsidR="00377388">
              <w:t xml:space="preserve">a </w:t>
            </w:r>
            <w:r>
              <w:t>password.</w:t>
            </w:r>
          </w:p>
          <w:p w14:paraId="7B44E587" w14:textId="623C268D" w:rsidR="00D7460E" w:rsidRDefault="00D7460E" w:rsidP="007D1F11"/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14:paraId="1D265F6F" w14:textId="2F3FC865" w:rsidR="00D7460E" w:rsidRDefault="00EB1264" w:rsidP="007D1F11">
            <w:r w:rsidRPr="00EB1264">
              <w:t>CloudCME works with UCSF MyAccess. UCSF employees sign in with the login credentials associated with their UCSF MyAccess account.  One less login and password to remember!</w:t>
            </w:r>
          </w:p>
        </w:tc>
      </w:tr>
      <w:tr w:rsidR="00D7460E" w14:paraId="04302B1D" w14:textId="77777777" w:rsidTr="007D1F11">
        <w:tc>
          <w:tcPr>
            <w:tcW w:w="4675" w:type="dxa"/>
            <w:tcBorders>
              <w:right w:val="single" w:sz="4" w:space="0" w:color="auto"/>
            </w:tcBorders>
          </w:tcPr>
          <w:p w14:paraId="6BE25208" w14:textId="77777777" w:rsidR="00D7460E" w:rsidRDefault="00D7460E" w:rsidP="007D1F11"/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14:paraId="6471FE28" w14:textId="77777777" w:rsidR="00D7460E" w:rsidRDefault="00D7460E" w:rsidP="007D1F11"/>
        </w:tc>
      </w:tr>
      <w:tr w:rsidR="00D7460E" w14:paraId="2FD24DED" w14:textId="77777777" w:rsidTr="007D1F11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46F29E33" w14:textId="77777777" w:rsidR="00D7460E" w:rsidRDefault="00D7460E" w:rsidP="007D1F11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ABD9E0" w14:textId="77777777" w:rsidR="00D7460E" w:rsidRDefault="00D7460E" w:rsidP="007D1F11"/>
        </w:tc>
      </w:tr>
    </w:tbl>
    <w:p w14:paraId="3F8FCB0F" w14:textId="77777777" w:rsidR="00315F27" w:rsidRDefault="00315F27" w:rsidP="00315F27"/>
    <w:p w14:paraId="31B0B055" w14:textId="77777777" w:rsidR="00315F27" w:rsidRPr="00315F27" w:rsidRDefault="00315F27" w:rsidP="00315F27"/>
    <w:p w14:paraId="09EE580D" w14:textId="77777777" w:rsidR="001E32A2" w:rsidRPr="00BF241E" w:rsidRDefault="001E32A2" w:rsidP="00346C75">
      <w:pPr>
        <w:spacing w:after="160" w:line="278" w:lineRule="auto"/>
      </w:pPr>
    </w:p>
    <w:sectPr w:rsidR="001E32A2" w:rsidRPr="00BF241E" w:rsidSect="00472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D0738" w14:textId="77777777" w:rsidR="00CA1FDE" w:rsidRDefault="00CA1FDE">
      <w:r>
        <w:separator/>
      </w:r>
    </w:p>
  </w:endnote>
  <w:endnote w:type="continuationSeparator" w:id="0">
    <w:p w14:paraId="648C125F" w14:textId="77777777" w:rsidR="00CA1FDE" w:rsidRDefault="00CA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7CFD" w14:textId="77777777" w:rsidR="005D2B51" w:rsidRDefault="005D2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30E8" w14:textId="77777777" w:rsidR="005D2B51" w:rsidRDefault="005D2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30E2" w14:textId="77777777" w:rsidR="005D2B51" w:rsidRDefault="005D2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A9AB" w14:textId="77777777" w:rsidR="00CA1FDE" w:rsidRDefault="00CA1FDE">
      <w:r>
        <w:separator/>
      </w:r>
    </w:p>
  </w:footnote>
  <w:footnote w:type="continuationSeparator" w:id="0">
    <w:p w14:paraId="4CD9D485" w14:textId="77777777" w:rsidR="00CA1FDE" w:rsidRDefault="00CA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F114" w14:textId="77777777" w:rsidR="005D2B51" w:rsidRDefault="005D2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B795" w14:textId="77777777" w:rsidR="005D2B51" w:rsidRDefault="005D2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8BD7" w14:textId="77777777" w:rsidR="00D53C9F" w:rsidRDefault="00D53C9F" w:rsidP="00D57B5E">
    <w:pPr>
      <w:pStyle w:val="Header"/>
      <w:ind w:left="-1440" w:firstLine="270"/>
    </w:pPr>
    <w:r>
      <w:rPr>
        <w:noProof/>
      </w:rPr>
      <w:drawing>
        <wp:anchor distT="0" distB="0" distL="114300" distR="114300" simplePos="0" relativeHeight="251657215" behindDoc="1" locked="0" layoutInCell="1" allowOverlap="1" wp14:anchorId="5A72B212" wp14:editId="7D26528C">
          <wp:simplePos x="0" y="0"/>
          <wp:positionH relativeFrom="column">
            <wp:posOffset>-901700</wp:posOffset>
          </wp:positionH>
          <wp:positionV relativeFrom="page">
            <wp:posOffset>10160</wp:posOffset>
          </wp:positionV>
          <wp:extent cx="7762875" cy="10046335"/>
          <wp:effectExtent l="0" t="0" r="0" b="0"/>
          <wp:wrapNone/>
          <wp:docPr id="956691447" name="Picture 956691447" descr="A black screen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691447" name="Picture 956691447" descr="A black screen with blu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875" cy="1004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D3AA58" w14:textId="77777777" w:rsidR="00D53C9F" w:rsidRDefault="00D53C9F" w:rsidP="00D57B5E">
    <w:pPr>
      <w:pStyle w:val="Header"/>
      <w:ind w:left="-1440" w:firstLine="270"/>
    </w:pPr>
  </w:p>
  <w:p w14:paraId="6C3AD9E4" w14:textId="77777777" w:rsidR="00D53C9F" w:rsidRDefault="00D53C9F" w:rsidP="00D57B5E">
    <w:pPr>
      <w:pStyle w:val="Header"/>
      <w:ind w:left="-1440" w:firstLine="270"/>
    </w:pPr>
  </w:p>
  <w:p w14:paraId="28C5FDA2" w14:textId="77777777" w:rsidR="00D53C9F" w:rsidRDefault="00D53C9F" w:rsidP="00D57B5E">
    <w:pPr>
      <w:pStyle w:val="Header"/>
      <w:ind w:left="-1440" w:firstLine="270"/>
    </w:pPr>
  </w:p>
  <w:p w14:paraId="4EA008CA" w14:textId="77777777" w:rsidR="00D53C9F" w:rsidRDefault="00D53C9F" w:rsidP="00D57B5E">
    <w:pPr>
      <w:pStyle w:val="Header"/>
      <w:ind w:left="-1440" w:firstLine="270"/>
    </w:pPr>
  </w:p>
  <w:p w14:paraId="6C7E1E86" w14:textId="77777777" w:rsidR="00D53C9F" w:rsidRDefault="00D53C9F" w:rsidP="00D57B5E">
    <w:pPr>
      <w:pStyle w:val="Header"/>
      <w:ind w:left="-1440" w:firstLine="270"/>
    </w:pPr>
  </w:p>
  <w:p w14:paraId="3D65DF29" w14:textId="77777777" w:rsidR="00D53C9F" w:rsidRDefault="00D53C9F" w:rsidP="00D57B5E">
    <w:pPr>
      <w:pStyle w:val="Header"/>
      <w:ind w:left="-1440" w:firstLine="270"/>
    </w:pPr>
  </w:p>
  <w:p w14:paraId="082EF1B4" w14:textId="77777777" w:rsidR="00D57B5E" w:rsidRDefault="006167E0" w:rsidP="00D57B5E">
    <w:pPr>
      <w:pStyle w:val="Header"/>
      <w:ind w:left="-1440" w:firstLine="27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39C849" wp14:editId="3DC56313">
              <wp:simplePos x="0" y="0"/>
              <wp:positionH relativeFrom="column">
                <wp:posOffset>-457200</wp:posOffset>
              </wp:positionH>
              <wp:positionV relativeFrom="paragraph">
                <wp:posOffset>282576</wp:posOffset>
              </wp:positionV>
              <wp:extent cx="4130040" cy="4572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0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46E08" w14:textId="77777777" w:rsidR="00D57B5E" w:rsidRPr="00BF2D1C" w:rsidRDefault="00DD190D">
                          <w:pPr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UCSF Continuing Education Portal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4239C849">
              <v:stroke joinstyle="miter"/>
              <v:path gradientshapeok="t" o:connecttype="rect"/>
            </v:shapetype>
            <v:shape id="Text Box 1" style="position:absolute;left:0;text-align:left;margin-left:-36pt;margin-top:22.25pt;width:325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">
              <v:textbox inset=",7.2pt,,7.2pt">
                <w:txbxContent>
                  <w:p w:rsidRPr="00BF2D1C" w:rsidR="00D57B5E" w:rsidRDefault="00DD190D" w14:paraId="3D646E08" w14:textId="77777777">
                    <w:pPr>
                      <w:rPr>
                        <w:rFonts w:ascii="Arial" w:hAnsi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UCSF Continuing Education Portal</w:t>
                    </w:r>
                  </w:p>
                </w:txbxContent>
              </v:textbox>
            </v:shape>
          </w:pict>
        </mc:Fallback>
      </mc:AlternateContent>
    </w:r>
    <w:r w:rsidR="00D57B5E">
      <w:rPr>
        <w:noProof/>
      </w:rPr>
      <w:drawing>
        <wp:inline distT="0" distB="0" distL="0" distR="0" wp14:anchorId="58769F7A" wp14:editId="59D0E169">
          <wp:extent cx="7404100" cy="969809"/>
          <wp:effectExtent l="0" t="0" r="6350" b="1905"/>
          <wp:docPr id="14" name="Picture 13" descr="Handout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Hea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04100" cy="969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BA3BDF"/>
    <w:multiLevelType w:val="hybridMultilevel"/>
    <w:tmpl w:val="21C8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5E33"/>
    <w:multiLevelType w:val="hybridMultilevel"/>
    <w:tmpl w:val="40DE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A4FFA"/>
    <w:multiLevelType w:val="hybridMultilevel"/>
    <w:tmpl w:val="A26C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DB6"/>
    <w:multiLevelType w:val="hybridMultilevel"/>
    <w:tmpl w:val="15EA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59883">
    <w:abstractNumId w:val="0"/>
  </w:num>
  <w:num w:numId="2" w16cid:durableId="1164515370">
    <w:abstractNumId w:val="4"/>
  </w:num>
  <w:num w:numId="3" w16cid:durableId="1683586016">
    <w:abstractNumId w:val="1"/>
  </w:num>
  <w:num w:numId="4" w16cid:durableId="244071879">
    <w:abstractNumId w:val="2"/>
  </w:num>
  <w:num w:numId="5" w16cid:durableId="1329820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27"/>
    <w:rsid w:val="00017AA6"/>
    <w:rsid w:val="00033849"/>
    <w:rsid w:val="00034F7B"/>
    <w:rsid w:val="000405BE"/>
    <w:rsid w:val="000662F2"/>
    <w:rsid w:val="00084576"/>
    <w:rsid w:val="00096407"/>
    <w:rsid w:val="000C1B3D"/>
    <w:rsid w:val="000C39D4"/>
    <w:rsid w:val="000C47FB"/>
    <w:rsid w:val="000D0D9D"/>
    <w:rsid w:val="000D2656"/>
    <w:rsid w:val="00131E81"/>
    <w:rsid w:val="00132DF3"/>
    <w:rsid w:val="0014431E"/>
    <w:rsid w:val="00163D29"/>
    <w:rsid w:val="001C20C1"/>
    <w:rsid w:val="001C4031"/>
    <w:rsid w:val="001D22CC"/>
    <w:rsid w:val="001D6C68"/>
    <w:rsid w:val="001E32A2"/>
    <w:rsid w:val="001E7BD3"/>
    <w:rsid w:val="00206224"/>
    <w:rsid w:val="00210B5A"/>
    <w:rsid w:val="0022399E"/>
    <w:rsid w:val="002304BD"/>
    <w:rsid w:val="00230EFF"/>
    <w:rsid w:val="002803EC"/>
    <w:rsid w:val="00283DA9"/>
    <w:rsid w:val="00287D17"/>
    <w:rsid w:val="00295F41"/>
    <w:rsid w:val="002C42AD"/>
    <w:rsid w:val="002C517D"/>
    <w:rsid w:val="002F3058"/>
    <w:rsid w:val="00315F27"/>
    <w:rsid w:val="00317648"/>
    <w:rsid w:val="003219C6"/>
    <w:rsid w:val="00346C75"/>
    <w:rsid w:val="003631B5"/>
    <w:rsid w:val="00377388"/>
    <w:rsid w:val="00380D2F"/>
    <w:rsid w:val="003865AE"/>
    <w:rsid w:val="003C641D"/>
    <w:rsid w:val="003F009D"/>
    <w:rsid w:val="003F6C11"/>
    <w:rsid w:val="00417DA6"/>
    <w:rsid w:val="004430E1"/>
    <w:rsid w:val="00451305"/>
    <w:rsid w:val="004724C4"/>
    <w:rsid w:val="00472AE4"/>
    <w:rsid w:val="004A116E"/>
    <w:rsid w:val="004B36D4"/>
    <w:rsid w:val="004D6BE3"/>
    <w:rsid w:val="004E4117"/>
    <w:rsid w:val="004E47A9"/>
    <w:rsid w:val="00502072"/>
    <w:rsid w:val="005168F0"/>
    <w:rsid w:val="00546F20"/>
    <w:rsid w:val="00586894"/>
    <w:rsid w:val="00590163"/>
    <w:rsid w:val="00596DB4"/>
    <w:rsid w:val="005A77B7"/>
    <w:rsid w:val="005B7522"/>
    <w:rsid w:val="005D2B51"/>
    <w:rsid w:val="005E07F8"/>
    <w:rsid w:val="0061122B"/>
    <w:rsid w:val="006123AB"/>
    <w:rsid w:val="00614ADB"/>
    <w:rsid w:val="006167E0"/>
    <w:rsid w:val="00650F7E"/>
    <w:rsid w:val="006575A9"/>
    <w:rsid w:val="006645CF"/>
    <w:rsid w:val="00683212"/>
    <w:rsid w:val="006A15A3"/>
    <w:rsid w:val="006A677D"/>
    <w:rsid w:val="00701788"/>
    <w:rsid w:val="007336A0"/>
    <w:rsid w:val="00744C68"/>
    <w:rsid w:val="007528CD"/>
    <w:rsid w:val="007869C5"/>
    <w:rsid w:val="007A0199"/>
    <w:rsid w:val="007A4A04"/>
    <w:rsid w:val="007E3401"/>
    <w:rsid w:val="007E66EE"/>
    <w:rsid w:val="00805711"/>
    <w:rsid w:val="00806759"/>
    <w:rsid w:val="00813B89"/>
    <w:rsid w:val="008451C9"/>
    <w:rsid w:val="00896EF6"/>
    <w:rsid w:val="008A2EE9"/>
    <w:rsid w:val="008D174E"/>
    <w:rsid w:val="008D51C6"/>
    <w:rsid w:val="008E7658"/>
    <w:rsid w:val="009026F4"/>
    <w:rsid w:val="00913218"/>
    <w:rsid w:val="0091360A"/>
    <w:rsid w:val="00937EFD"/>
    <w:rsid w:val="00955358"/>
    <w:rsid w:val="00956015"/>
    <w:rsid w:val="00967178"/>
    <w:rsid w:val="00986229"/>
    <w:rsid w:val="009E4504"/>
    <w:rsid w:val="00A511B8"/>
    <w:rsid w:val="00A57E1F"/>
    <w:rsid w:val="00A92E51"/>
    <w:rsid w:val="00AA2C01"/>
    <w:rsid w:val="00AA3E98"/>
    <w:rsid w:val="00AD5073"/>
    <w:rsid w:val="00AE5F35"/>
    <w:rsid w:val="00B034FE"/>
    <w:rsid w:val="00B41EE8"/>
    <w:rsid w:val="00B55293"/>
    <w:rsid w:val="00B555AD"/>
    <w:rsid w:val="00B72EB5"/>
    <w:rsid w:val="00BB0DA0"/>
    <w:rsid w:val="00BE35EB"/>
    <w:rsid w:val="00BE6940"/>
    <w:rsid w:val="00BF1676"/>
    <w:rsid w:val="00BF241E"/>
    <w:rsid w:val="00BF2D1C"/>
    <w:rsid w:val="00C12ADE"/>
    <w:rsid w:val="00C213E8"/>
    <w:rsid w:val="00C564FA"/>
    <w:rsid w:val="00C731E9"/>
    <w:rsid w:val="00C9199C"/>
    <w:rsid w:val="00CA084D"/>
    <w:rsid w:val="00CA177D"/>
    <w:rsid w:val="00CA1FDE"/>
    <w:rsid w:val="00CC6EEC"/>
    <w:rsid w:val="00CE7DC1"/>
    <w:rsid w:val="00D062F0"/>
    <w:rsid w:val="00D53C9F"/>
    <w:rsid w:val="00D57B5E"/>
    <w:rsid w:val="00D7460E"/>
    <w:rsid w:val="00D8489E"/>
    <w:rsid w:val="00DC4F22"/>
    <w:rsid w:val="00DC6792"/>
    <w:rsid w:val="00DD190D"/>
    <w:rsid w:val="00DF7C8F"/>
    <w:rsid w:val="00E16183"/>
    <w:rsid w:val="00E2038A"/>
    <w:rsid w:val="00E2450C"/>
    <w:rsid w:val="00E32C10"/>
    <w:rsid w:val="00E65357"/>
    <w:rsid w:val="00E96EE4"/>
    <w:rsid w:val="00EA4A83"/>
    <w:rsid w:val="00EA7AC1"/>
    <w:rsid w:val="00EB1264"/>
    <w:rsid w:val="00EB67E9"/>
    <w:rsid w:val="00EF76F7"/>
    <w:rsid w:val="00F01AF0"/>
    <w:rsid w:val="00F63038"/>
    <w:rsid w:val="00F66C05"/>
    <w:rsid w:val="00F70115"/>
    <w:rsid w:val="00F95262"/>
    <w:rsid w:val="00FB6EB8"/>
    <w:rsid w:val="00FB7D55"/>
    <w:rsid w:val="00FE1A81"/>
    <w:rsid w:val="01751898"/>
    <w:rsid w:val="0478F4E4"/>
    <w:rsid w:val="13C2EDCC"/>
    <w:rsid w:val="1B61DDF4"/>
    <w:rsid w:val="3BE0044C"/>
    <w:rsid w:val="5111BC94"/>
    <w:rsid w:val="580DCF81"/>
    <w:rsid w:val="6992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F26B6"/>
  <w15:docId w15:val="{78F8F75F-209D-4EF9-B756-412CE8BD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31E9"/>
  </w:style>
  <w:style w:type="paragraph" w:styleId="Heading1">
    <w:name w:val="heading 1"/>
    <w:basedOn w:val="Normal"/>
    <w:next w:val="Normal"/>
    <w:link w:val="Heading1Char"/>
    <w:uiPriority w:val="9"/>
    <w:qFormat/>
    <w:rsid w:val="00CA17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7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F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5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50C"/>
  </w:style>
  <w:style w:type="paragraph" w:styleId="Footer">
    <w:name w:val="footer"/>
    <w:basedOn w:val="Normal"/>
    <w:link w:val="FooterChar"/>
    <w:uiPriority w:val="99"/>
    <w:unhideWhenUsed/>
    <w:rsid w:val="00E245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50C"/>
  </w:style>
  <w:style w:type="character" w:styleId="Hyperlink">
    <w:name w:val="Hyperlink"/>
    <w:basedOn w:val="DefaultParagraphFont"/>
    <w:uiPriority w:val="99"/>
    <w:unhideWhenUsed/>
    <w:rsid w:val="00DF7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701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177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A177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15F27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31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t\OneDrive%20-%20UCSF\_LAPTOP%20TRANSFER\Documents\WORKING\Projects%20-%20Short-term\CloudCME\Documentation\Training%20and%20Job%20Aids\Handouts\_Job%20Ai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5439-74FA-484A-B46A-89AAD105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_Job Aid Template.dotx</Template>
  <TotalTime>6</TotalTime>
  <Pages>4</Pages>
  <Words>726</Words>
  <Characters>4198</Characters>
  <Application>Microsoft Office Word</Application>
  <DocSecurity>0</DocSecurity>
  <Lines>199</Lines>
  <Paragraphs>54</Paragraphs>
  <ScaleCrop>false</ScaleCrop>
  <Company>MultiWeb Communications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Tymothi</dc:creator>
  <cp:keywords/>
  <dc:description/>
  <cp:lastModifiedBy>Peters, Tymothi</cp:lastModifiedBy>
  <cp:revision>46</cp:revision>
  <cp:lastPrinted>2017-09-15T17:40:00Z</cp:lastPrinted>
  <dcterms:created xsi:type="dcterms:W3CDTF">2025-06-18T22:11:00Z</dcterms:created>
  <dcterms:modified xsi:type="dcterms:W3CDTF">2025-06-26T23:48:00Z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ff287238-26cc-4840-989d-ccd8e00e7f79</vt:lpwstr>
  </property>
</Properties>
</file>